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0E6" w:rsidRPr="00691563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C52BD7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C52BD7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F96623">
        <w:rPr>
          <w:rFonts w:ascii="Arial" w:hAnsi="Arial" w:cs="Arial"/>
          <w:b/>
          <w:color w:val="000000"/>
          <w:sz w:val="28"/>
          <w:szCs w:val="28"/>
        </w:rPr>
        <w:t>RAN</w:t>
      </w:r>
      <w:r w:rsidR="00654A7F" w:rsidRPr="00C52BD7">
        <w:rPr>
          <w:rFonts w:ascii="Arial" w:hAnsi="Arial" w:cs="Arial"/>
          <w:b/>
          <w:sz w:val="28"/>
          <w:szCs w:val="28"/>
        </w:rPr>
        <w:t xml:space="preserve"> Meeting #</w:t>
      </w:r>
      <w:r w:rsidR="00D10654" w:rsidRPr="00F96623">
        <w:rPr>
          <w:rFonts w:ascii="Arial" w:hAnsi="Arial" w:cs="Arial"/>
          <w:b/>
          <w:color w:val="000000"/>
          <w:sz w:val="28"/>
          <w:szCs w:val="28"/>
        </w:rPr>
        <w:t>109</w:t>
      </w:r>
      <w:r w:rsidR="00F35990" w:rsidRPr="00F96623">
        <w:rPr>
          <w:rFonts w:ascii="Arial" w:hAnsi="Arial" w:cs="Arial"/>
          <w:b/>
          <w:color w:val="000000"/>
          <w:sz w:val="28"/>
          <w:szCs w:val="28"/>
        </w:rPr>
        <w:tab/>
      </w:r>
      <w:r w:rsidR="005B2698" w:rsidRPr="00C52BD7">
        <w:rPr>
          <w:rFonts w:ascii="Arial" w:eastAsia="MS Mincho" w:hAnsi="Arial" w:cs="Arial"/>
          <w:b/>
          <w:sz w:val="28"/>
          <w:szCs w:val="28"/>
        </w:rPr>
        <w:tab/>
      </w:r>
      <w:r w:rsidR="00EF6918" w:rsidRPr="00C52BD7">
        <w:rPr>
          <w:rFonts w:ascii="Arial" w:eastAsia="MS Mincho" w:hAnsi="Arial" w:cs="Arial" w:hint="eastAsia"/>
          <w:b/>
          <w:sz w:val="28"/>
          <w:szCs w:val="28"/>
        </w:rPr>
        <w:tab/>
      </w:r>
      <w:r w:rsidR="00D10654" w:rsidRPr="00691563">
        <w:rPr>
          <w:rFonts w:ascii="Arial" w:eastAsia="MS Mincho" w:hAnsi="Arial" w:cs="Arial"/>
          <w:b/>
          <w:sz w:val="28"/>
          <w:szCs w:val="28"/>
        </w:rPr>
        <w:t xml:space="preserve">                                     </w:t>
      </w:r>
      <w:r w:rsidR="00691563" w:rsidRPr="00691563">
        <w:rPr>
          <w:rFonts w:ascii="Arial" w:hAnsi="Arial" w:cs="Arial"/>
          <w:b/>
          <w:sz w:val="28"/>
          <w:szCs w:val="28"/>
        </w:rPr>
        <w:t>RP-252829</w:t>
      </w:r>
    </w:p>
    <w:p w:rsidR="00D10654" w:rsidRPr="00C52BD7" w:rsidRDefault="00D10654" w:rsidP="00A65273">
      <w:pPr>
        <w:tabs>
          <w:tab w:val="left" w:pos="567"/>
        </w:tabs>
        <w:spacing w:after="0"/>
        <w:rPr>
          <w:rFonts w:ascii="Arial" w:hAnsi="Arial" w:cs="Arial"/>
          <w:b/>
          <w:sz w:val="28"/>
          <w:szCs w:val="28"/>
        </w:rPr>
      </w:pPr>
      <w:r w:rsidRPr="00C52BD7">
        <w:rPr>
          <w:rFonts w:ascii="Arial" w:hAnsi="Arial" w:cs="Arial"/>
          <w:b/>
          <w:sz w:val="28"/>
          <w:szCs w:val="28"/>
        </w:rPr>
        <w:t>Beijing, China, Sep. 15-18, 2025</w:t>
      </w:r>
    </w:p>
    <w:p w:rsidR="00D10654" w:rsidRPr="00C52BD7" w:rsidRDefault="00D10654" w:rsidP="00F35990">
      <w:pPr>
        <w:tabs>
          <w:tab w:val="left" w:pos="567"/>
        </w:tabs>
        <w:rPr>
          <w:rFonts w:ascii="Arial" w:hAnsi="Arial"/>
          <w:b/>
          <w:lang w:val="en-US"/>
        </w:rPr>
      </w:pPr>
    </w:p>
    <w:p w:rsidR="00A67875" w:rsidRPr="00F96623" w:rsidRDefault="00CB40E6" w:rsidP="00F35990">
      <w:pPr>
        <w:tabs>
          <w:tab w:val="left" w:pos="567"/>
        </w:tabs>
        <w:rPr>
          <w:rFonts w:ascii="Arial" w:hAnsi="Arial"/>
          <w:b/>
          <w:color w:val="000000"/>
          <w:lang w:val="en-US"/>
        </w:rPr>
      </w:pPr>
      <w:r w:rsidRPr="00A079D3">
        <w:rPr>
          <w:rFonts w:ascii="Arial" w:hAnsi="Arial"/>
          <w:b/>
          <w:lang w:val="en-US"/>
        </w:rPr>
        <w:t>Agenda Item:</w:t>
      </w:r>
      <w:r w:rsidRPr="00A079D3">
        <w:rPr>
          <w:rFonts w:ascii="Arial" w:hAnsi="Arial"/>
          <w:lang w:val="en-US"/>
        </w:rPr>
        <w:tab/>
      </w:r>
      <w:bookmarkStart w:id="0" w:name="Source"/>
      <w:bookmarkEnd w:id="0"/>
      <w:r w:rsidR="00F35990" w:rsidRPr="00A079D3">
        <w:rPr>
          <w:rFonts w:ascii="Arial" w:hAnsi="Arial"/>
          <w:b/>
          <w:lang w:val="en-US"/>
        </w:rPr>
        <w:tab/>
      </w:r>
      <w:r w:rsidR="00D10654" w:rsidRPr="00F96623">
        <w:rPr>
          <w:rFonts w:ascii="Arial" w:hAnsi="Arial"/>
          <w:b/>
          <w:color w:val="000000"/>
          <w:lang w:val="en-US"/>
        </w:rPr>
        <w:t>10.5.3</w:t>
      </w:r>
    </w:p>
    <w:p w:rsidR="00CB40E6" w:rsidRPr="00A079D3" w:rsidRDefault="00F35990" w:rsidP="00F35990">
      <w:pPr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Source:</w:t>
      </w:r>
      <w:r w:rsidR="00CB40E6"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="00D10654" w:rsidRPr="00F96623">
        <w:rPr>
          <w:rFonts w:ascii="Arial" w:hAnsi="Arial"/>
          <w:b/>
          <w:color w:val="000000"/>
        </w:rPr>
        <w:t>EBU</w:t>
      </w:r>
    </w:p>
    <w:p w:rsidR="00BD7C2A" w:rsidRPr="00F96623" w:rsidRDefault="00CB40E6" w:rsidP="00BD7C2A">
      <w:pPr>
        <w:tabs>
          <w:tab w:val="left" w:pos="567"/>
        </w:tabs>
        <w:rPr>
          <w:rFonts w:ascii="Arial" w:hAnsi="Arial"/>
          <w:color w:val="000000"/>
        </w:rPr>
      </w:pPr>
      <w:r w:rsidRPr="00A079D3">
        <w:rPr>
          <w:rFonts w:ascii="Arial" w:hAnsi="Arial"/>
          <w:b/>
        </w:rPr>
        <w:t>Title:</w:t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691563" w:rsidRPr="00691563">
        <w:rPr>
          <w:rFonts w:ascii="Arial" w:hAnsi="Arial"/>
          <w:b/>
        </w:rPr>
        <w:t>WI summary for WI Core part: LTE-based 5G Broadcast Phase 2</w:t>
      </w:r>
    </w:p>
    <w:p w:rsidR="004B3C92" w:rsidRPr="00A079D3" w:rsidRDefault="004B3C92" w:rsidP="00367EEA">
      <w:pPr>
        <w:tabs>
          <w:tab w:val="left" w:pos="567"/>
        </w:tabs>
        <w:rPr>
          <w:rFonts w:ascii="Arial" w:hAnsi="Arial"/>
        </w:rPr>
      </w:pPr>
      <w:r w:rsidRPr="004B3C92">
        <w:rPr>
          <w:rFonts w:ascii="Arial" w:hAnsi="Arial"/>
          <w:b/>
        </w:rPr>
        <w:t>WI code</w:t>
      </w:r>
      <w:r w:rsidR="00D62905">
        <w:rPr>
          <w:rFonts w:ascii="Arial" w:hAnsi="Arial"/>
          <w:b/>
        </w:rPr>
        <w:t>(s)</w:t>
      </w:r>
      <w:r w:rsidRPr="004B3C92">
        <w:rPr>
          <w:rFonts w:ascii="Arial" w:hAnsi="Arial"/>
          <w:b/>
        </w:rPr>
        <w:t>:</w:t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r w:rsidR="00D10654" w:rsidRPr="00F96623">
        <w:rPr>
          <w:rFonts w:ascii="Arial" w:hAnsi="Arial"/>
          <w:b/>
          <w:color w:val="000000"/>
        </w:rPr>
        <w:t>LTE_terr_bcast_Ph2</w:t>
      </w:r>
      <w:r w:rsidR="00D10654" w:rsidRPr="00D10654">
        <w:rPr>
          <w:rFonts w:ascii="Arial" w:hAnsi="Arial"/>
          <w:b/>
          <w:color w:val="0070C0"/>
        </w:rPr>
        <w:t> </w:t>
      </w:r>
    </w:p>
    <w:p w:rsidR="00D62905" w:rsidRPr="00A079D3" w:rsidRDefault="00D62905" w:rsidP="00D62905">
      <w:pPr>
        <w:tabs>
          <w:tab w:val="left" w:pos="567"/>
        </w:tabs>
        <w:rPr>
          <w:rFonts w:ascii="Arial" w:hAnsi="Arial"/>
          <w:b/>
        </w:rPr>
      </w:pPr>
      <w:proofErr w:type="gramStart"/>
      <w:r w:rsidRPr="004B3C92">
        <w:rPr>
          <w:rFonts w:ascii="Arial" w:hAnsi="Arial"/>
          <w:b/>
        </w:rPr>
        <w:t>leading</w:t>
      </w:r>
      <w:proofErr w:type="gramEnd"/>
      <w:r w:rsidRPr="004B3C92">
        <w:rPr>
          <w:rFonts w:ascii="Arial" w:hAnsi="Arial"/>
          <w:b/>
        </w:rPr>
        <w:t xml:space="preserve"> WG:</w:t>
      </w:r>
      <w:r>
        <w:rPr>
          <w:rFonts w:ascii="Arial" w:hAnsi="Arial"/>
          <w:b/>
          <w:color w:val="0070C0"/>
        </w:rPr>
        <w:tab/>
      </w:r>
      <w:r w:rsidRPr="00F96623">
        <w:rPr>
          <w:rFonts w:ascii="Arial" w:hAnsi="Arial"/>
          <w:b/>
          <w:color w:val="000000"/>
        </w:rPr>
        <w:tab/>
      </w:r>
      <w:r w:rsidR="00D10654" w:rsidRPr="00F96623">
        <w:rPr>
          <w:rFonts w:ascii="Arial" w:hAnsi="Arial"/>
          <w:b/>
          <w:color w:val="000000"/>
        </w:rPr>
        <w:t>RAN1</w:t>
      </w:r>
    </w:p>
    <w:p w:rsidR="00CB40E6" w:rsidRDefault="004B3C92" w:rsidP="00F35990">
      <w:pPr>
        <w:tabs>
          <w:tab w:val="left" w:pos="567"/>
        </w:tabs>
        <w:rPr>
          <w:rFonts w:ascii="Arial" w:hAnsi="Arial"/>
          <w:b/>
          <w:color w:val="0070C0"/>
        </w:rPr>
      </w:pPr>
      <w:r>
        <w:rPr>
          <w:rFonts w:ascii="Arial" w:hAnsi="Arial"/>
          <w:b/>
        </w:rPr>
        <w:t>Release: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F96623">
        <w:rPr>
          <w:rFonts w:ascii="Arial" w:hAnsi="Arial"/>
          <w:b/>
          <w:color w:val="000000"/>
        </w:rPr>
        <w:t>Rel-</w:t>
      </w:r>
      <w:r w:rsidR="00D10654" w:rsidRPr="00F96623">
        <w:rPr>
          <w:rFonts w:ascii="Arial" w:hAnsi="Arial"/>
          <w:b/>
          <w:color w:val="000000"/>
        </w:rPr>
        <w:t>19</w:t>
      </w:r>
    </w:p>
    <w:p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:rsidR="00CB40E6" w:rsidRDefault="004F7FE5" w:rsidP="001405E2">
      <w:pPr>
        <w:pStyle w:val="Titolo3"/>
      </w:pPr>
      <w:r w:rsidRPr="00A079D3">
        <w:t>1</w:t>
      </w:r>
      <w:r w:rsidRPr="00A079D3">
        <w:tab/>
      </w:r>
      <w:r w:rsidR="004B3C92">
        <w:t>Introduction</w:t>
      </w:r>
    </w:p>
    <w:p w:rsidR="00F9099A" w:rsidRDefault="00F9099A" w:rsidP="00F9099A">
      <w:pPr>
        <w:jc w:val="both"/>
      </w:pPr>
      <w:r>
        <w:t xml:space="preserve">Time and frequency </w:t>
      </w:r>
      <w:proofErr w:type="spellStart"/>
      <w:r>
        <w:t>interleavers</w:t>
      </w:r>
      <w:proofErr w:type="spellEnd"/>
      <w:r>
        <w:t xml:space="preserve"> are crucial </w:t>
      </w:r>
      <w:r w:rsidR="00786D15">
        <w:t xml:space="preserve">components </w:t>
      </w:r>
      <w:r>
        <w:t xml:space="preserve">for enhancing transmission robustness in </w:t>
      </w:r>
      <w:proofErr w:type="gramStart"/>
      <w:r>
        <w:t>time-varying</w:t>
      </w:r>
      <w:proofErr w:type="gramEnd"/>
      <w:r>
        <w:t xml:space="preserve"> (e.g., mobile reception) </w:t>
      </w:r>
      <w:r w:rsidR="00786D15">
        <w:t xml:space="preserve">and frequency-selective </w:t>
      </w:r>
      <w:r>
        <w:t>(e.g., SFN deployments)</w:t>
      </w:r>
      <w:r w:rsidR="00786D15">
        <w:t xml:space="preserve"> channels</w:t>
      </w:r>
      <w:r>
        <w:t>. Physical-layer time interleaving, in particular, offers significant performance benefits, especially in high-mobility scenarios.</w:t>
      </w:r>
    </w:p>
    <w:p w:rsidR="00F9099A" w:rsidRDefault="00F9099A" w:rsidP="00F9099A">
      <w:pPr>
        <w:jc w:val="both"/>
      </w:pPr>
      <w:r>
        <w:t xml:space="preserve">For MBMS-dedicated cells, this Rel-19 work item specifies time-frequency </w:t>
      </w:r>
      <w:proofErr w:type="spellStart"/>
      <w:r>
        <w:t>interleavers</w:t>
      </w:r>
      <w:proofErr w:type="spellEnd"/>
      <w:r>
        <w:t xml:space="preserve"> [RAN1] and corresponding signalling [RAN2, RAN3].</w:t>
      </w:r>
    </w:p>
    <w:p w:rsidR="001E10F6" w:rsidRDefault="001E10F6" w:rsidP="001E10F6">
      <w:pPr>
        <w:spacing w:after="0"/>
      </w:pPr>
    </w:p>
    <w:p w:rsidR="001E10F6" w:rsidRPr="00916091" w:rsidRDefault="001E10F6" w:rsidP="001E10F6">
      <w:pPr>
        <w:spacing w:after="0"/>
      </w:pPr>
    </w:p>
    <w:p w:rsidR="00AA0F82" w:rsidRPr="00AA0F82" w:rsidRDefault="00A31492" w:rsidP="00AA0F82">
      <w:pPr>
        <w:pStyle w:val="Titolo3"/>
      </w:pPr>
      <w:r>
        <w:t>2</w:t>
      </w:r>
      <w:r w:rsidRPr="00A079D3">
        <w:tab/>
      </w:r>
      <w:r w:rsidR="004B3C92">
        <w:t>Description</w:t>
      </w:r>
    </w:p>
    <w:p w:rsidR="00CE2DFF" w:rsidRDefault="00CE2DFF" w:rsidP="001C2CB4">
      <w:pPr>
        <w:jc w:val="both"/>
      </w:pPr>
      <w:proofErr w:type="gramStart"/>
      <w:r>
        <w:t xml:space="preserve">Following on the </w:t>
      </w:r>
      <w:r w:rsidRPr="007F7EDC">
        <w:t xml:space="preserve">design </w:t>
      </w:r>
      <w:r>
        <w:t xml:space="preserve">principles </w:t>
      </w:r>
      <w:r w:rsidRPr="007F7EDC">
        <w:t xml:space="preserve">of NR </w:t>
      </w:r>
      <w:proofErr w:type="spellStart"/>
      <w:r w:rsidRPr="007F7EDC">
        <w:t>TBoMS</w:t>
      </w:r>
      <w:proofErr w:type="spellEnd"/>
      <w:r w:rsidRPr="007F7EDC">
        <w:t xml:space="preserve">, </w:t>
      </w:r>
      <w:r>
        <w:t xml:space="preserve">the basic approach of the proposed Time- Frequency </w:t>
      </w:r>
      <w:proofErr w:type="spellStart"/>
      <w:r>
        <w:t>Interleaver</w:t>
      </w:r>
      <w:proofErr w:type="spellEnd"/>
      <w:r>
        <w:t xml:space="preserve"> </w:t>
      </w:r>
      <w:r w:rsidRPr="00BE6AC5">
        <w:rPr>
          <w:lang w:val="en-US"/>
        </w:rPr>
        <w:t>is to reuse the building blocks behind HARQ retransmissions and combining, which allows to spread the coded bits of a transport block (TB) across multiple non-consecutive slots/</w:t>
      </w:r>
      <w:proofErr w:type="spellStart"/>
      <w:r w:rsidRPr="00BE6AC5">
        <w:rPr>
          <w:lang w:val="en-US"/>
        </w:rPr>
        <w:t>subframes</w:t>
      </w:r>
      <w:proofErr w:type="spellEnd"/>
      <w:r w:rsidRPr="00BE6AC5">
        <w:rPr>
          <w:lang w:val="en-US"/>
        </w:rPr>
        <w:t>.</w:t>
      </w:r>
      <w:r>
        <w:t>The HARQ chip memory remains unused for dedicated MBMS carriers (i.e. no unicast transmissions) and can be repurposed to perform PMCH time-interleaving, i.e. no additional in-chip memory may be required.</w:t>
      </w:r>
      <w:proofErr w:type="gramEnd"/>
      <w:r>
        <w:t xml:space="preserve"> </w:t>
      </w:r>
    </w:p>
    <w:p w:rsidR="00CE2DFF" w:rsidRDefault="00CE2DFF" w:rsidP="00CE2DFF">
      <w:pPr>
        <w:jc w:val="both"/>
      </w:pPr>
      <w:r w:rsidRPr="00CE2DFF">
        <w:t xml:space="preserve">In Figure </w:t>
      </w:r>
      <w:r>
        <w:t>1</w:t>
      </w:r>
      <w:r w:rsidRPr="00CE2DFF">
        <w:t xml:space="preserve">, this mechanism </w:t>
      </w:r>
      <w:proofErr w:type="gramStart"/>
      <w:r w:rsidRPr="00CE2DFF">
        <w:t>is depicted</w:t>
      </w:r>
      <w:proofErr w:type="gramEnd"/>
      <w:r w:rsidRPr="00CE2DFF">
        <w:t>:</w:t>
      </w:r>
      <w:r>
        <w:t xml:space="preserve"> </w:t>
      </w:r>
      <m:oMath>
        <m:r>
          <w:rPr>
            <w:rFonts w:ascii="Cambria Math" w:hAnsi="Cambria Math"/>
          </w:rPr>
          <m:t>n</m:t>
        </m:r>
      </m:oMath>
      <w:r>
        <w:t xml:space="preserve"> 'redundancy versions' (RV) of each of </w:t>
      </w:r>
      <m:oMath>
        <m:r>
          <w:rPr>
            <w:rFonts w:ascii="Cambria Math" w:hAnsi="Cambria Math"/>
          </w:rPr>
          <m:t>m</m:t>
        </m:r>
      </m:oMath>
      <w:r>
        <w:t xml:space="preserve"> TBs are generated and then interleaved across a time unit of </w:t>
      </w:r>
      <m:oMath>
        <m:r>
          <w:rPr>
            <w:rFonts w:ascii="Cambria Math" w:hAnsi="Cambria Math"/>
          </w:rPr>
          <m:t xml:space="preserve">m× n </m:t>
        </m:r>
      </m:oMath>
      <w:r>
        <w:t xml:space="preserve">subframes. To maintain the same overall throughput with non-interleaved transmission, the TBS is scaled according </w:t>
      </w:r>
      <w:proofErr w:type="gramStart"/>
      <w:r>
        <w:t xml:space="preserve">to </w:t>
      </w:r>
      <w:proofErr w:type="gramEnd"/>
      <m:oMath>
        <m:r>
          <w:rPr>
            <w:rFonts w:ascii="Cambria Math" w:hAnsi="Cambria Math"/>
          </w:rPr>
          <m:t>n</m:t>
        </m:r>
      </m:oMath>
      <w:r>
        <w:t xml:space="preserve">. Hence, the same HARQ memory </w:t>
      </w:r>
      <w:proofErr w:type="gramStart"/>
      <w:r>
        <w:t>can be reused</w:t>
      </w:r>
      <w:proofErr w:type="gramEnd"/>
      <w:r>
        <w:t xml:space="preserve"> to store the LLRs </w:t>
      </w:r>
      <w:r w:rsidRPr="00AE3825">
        <w:t xml:space="preserve">corresponding to each </w:t>
      </w:r>
      <w:r>
        <w:t xml:space="preserve">redundancy version and decode after all </w:t>
      </w:r>
      <m:oMath>
        <m:r>
          <w:rPr>
            <w:rFonts w:ascii="Cambria Math" w:hAnsi="Cambria Math"/>
          </w:rPr>
          <m:t xml:space="preserve">n </m:t>
        </m:r>
      </m:oMath>
      <w:r>
        <w:t xml:space="preserve">redundancy versions for a TB have been received. </w:t>
      </w:r>
    </w:p>
    <w:p w:rsidR="00CE2DFF" w:rsidRDefault="003B0EB0" w:rsidP="00CE2DFF">
      <w:pPr>
        <w:spacing w:after="0"/>
        <w:jc w:val="center"/>
        <w:rPr>
          <w:color w:val="FF0000"/>
        </w:rPr>
      </w:pPr>
      <w:r w:rsidRPr="00CE2DFF">
        <w:rPr>
          <w:b/>
          <w:noProof/>
          <w:lang w:eastAsia="en-GB"/>
        </w:rPr>
        <w:lastRenderedPageBreak/>
        <w:drawing>
          <wp:inline distT="0" distB="0" distL="0" distR="0">
            <wp:extent cx="4425950" cy="3194050"/>
            <wp:effectExtent l="0" t="0" r="0" b="0"/>
            <wp:docPr id="11" name="Picture 1" descr="A screen shot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screen shot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319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DFF" w:rsidRPr="00CE2DFF" w:rsidRDefault="00CE2DFF" w:rsidP="00CE2DFF">
      <w:pPr>
        <w:pStyle w:val="Didascalia"/>
        <w:jc w:val="center"/>
        <w:rPr>
          <w:rFonts w:eastAsia="Times New Roman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proofErr w:type="spellStart"/>
      <w:r>
        <w:t>Subframe</w:t>
      </w:r>
      <w:proofErr w:type="spellEnd"/>
      <w:r>
        <w:t xml:space="preserve"> mapping of TBs for time interleaved PMCH transmission.</w:t>
      </w:r>
    </w:p>
    <w:p w:rsidR="00975496" w:rsidRDefault="00975496" w:rsidP="00975496">
      <w:pPr>
        <w:jc w:val="both"/>
      </w:pPr>
    </w:p>
    <w:p w:rsidR="00975496" w:rsidRDefault="00975496" w:rsidP="00975496">
      <w:pPr>
        <w:jc w:val="both"/>
      </w:pPr>
      <w:r>
        <w:t xml:space="preserve">Frequency interleaving is key to counteract the erasure of OFDM subcarriers due to periodic frequency selectivity. This is a well-known effect of </w:t>
      </w:r>
      <w:r w:rsidRPr="007F7EDC">
        <w:t xml:space="preserve">Single Frequency Network (SFN) scenarios, </w:t>
      </w:r>
      <w:r>
        <w:t xml:space="preserve">where </w:t>
      </w:r>
      <w:r w:rsidRPr="007F7EDC">
        <w:t xml:space="preserve">frequency selectivity can erase entire </w:t>
      </w:r>
      <w:proofErr w:type="spellStart"/>
      <w:r w:rsidRPr="007F7EDC">
        <w:t>codeblocks</w:t>
      </w:r>
      <w:proofErr w:type="spellEnd"/>
      <w:r w:rsidRPr="007F7EDC">
        <w:t xml:space="preserve">. </w:t>
      </w:r>
      <w:r>
        <w:t>S</w:t>
      </w:r>
      <w:r w:rsidRPr="007F7EDC">
        <w:t>pread</w:t>
      </w:r>
      <w:r>
        <w:t>ing</w:t>
      </w:r>
      <w:r w:rsidRPr="007F7EDC">
        <w:t xml:space="preserve"> the information of each </w:t>
      </w:r>
      <w:proofErr w:type="spellStart"/>
      <w:r w:rsidRPr="007F7EDC">
        <w:t>codeblock</w:t>
      </w:r>
      <w:proofErr w:type="spellEnd"/>
      <w:r w:rsidRPr="007F7EDC">
        <w:t xml:space="preserve"> across the entire system bandwidth</w:t>
      </w:r>
      <w:r>
        <w:t xml:space="preserve"> would optimally mitigate the issue</w:t>
      </w:r>
      <w:r w:rsidRPr="007F7EDC">
        <w:t>.</w:t>
      </w:r>
    </w:p>
    <w:p w:rsidR="00975496" w:rsidRPr="006B539D" w:rsidRDefault="00975496" w:rsidP="00975496">
      <w:pPr>
        <w:rPr>
          <w:rFonts w:eastAsia="SimSun"/>
        </w:rPr>
      </w:pPr>
      <w:r w:rsidRPr="006B539D">
        <w:rPr>
          <w:rFonts w:eastAsia="SimSun"/>
        </w:rPr>
        <w:t xml:space="preserve">The main principles behind the proposed frequency </w:t>
      </w:r>
      <w:proofErr w:type="spellStart"/>
      <w:r w:rsidRPr="00280D26">
        <w:rPr>
          <w:rFonts w:eastAsia="SimSun"/>
        </w:rPr>
        <w:t>interleaver</w:t>
      </w:r>
      <w:proofErr w:type="spellEnd"/>
      <w:r w:rsidRPr="00280D26">
        <w:rPr>
          <w:rFonts w:eastAsia="SimSun"/>
        </w:rPr>
        <w:t xml:space="preserve"> are</w:t>
      </w:r>
      <w:r w:rsidRPr="006B539D">
        <w:rPr>
          <w:rFonts w:eastAsia="SimSun"/>
        </w:rPr>
        <w:t>:</w:t>
      </w:r>
    </w:p>
    <w:p w:rsidR="00975496" w:rsidRPr="006B539D" w:rsidRDefault="00975496" w:rsidP="00975496">
      <w:pPr>
        <w:ind w:left="720"/>
        <w:rPr>
          <w:rFonts w:eastAsia="SimSun"/>
        </w:rPr>
      </w:pPr>
      <w:r>
        <w:rPr>
          <w:rFonts w:eastAsia="SimSun"/>
        </w:rPr>
        <w:t xml:space="preserve">1. </w:t>
      </w:r>
      <w:r w:rsidRPr="006B539D">
        <w:rPr>
          <w:rFonts w:eastAsia="SimSun"/>
        </w:rPr>
        <w:t xml:space="preserve">The tones corresponding to the </w:t>
      </w:r>
      <w:proofErr w:type="spellStart"/>
      <w:r w:rsidRPr="006B539D">
        <w:rPr>
          <w:rFonts w:eastAsia="SimSun"/>
        </w:rPr>
        <w:t>codeblocks</w:t>
      </w:r>
      <w:proofErr w:type="spellEnd"/>
      <w:r w:rsidRPr="006B539D">
        <w:rPr>
          <w:rFonts w:eastAsia="SimSun"/>
        </w:rPr>
        <w:t xml:space="preserve"> </w:t>
      </w:r>
      <w:proofErr w:type="gramStart"/>
      <w:r w:rsidRPr="006B539D">
        <w:rPr>
          <w:rFonts w:eastAsia="SimSun"/>
        </w:rPr>
        <w:t>are written</w:t>
      </w:r>
      <w:proofErr w:type="gramEnd"/>
      <w:r w:rsidRPr="006B539D">
        <w:rPr>
          <w:rFonts w:eastAsia="SimSun"/>
        </w:rPr>
        <w:t xml:space="preserve"> </w:t>
      </w:r>
      <w:r w:rsidR="00DC1B58">
        <w:rPr>
          <w:lang w:val="en-US"/>
        </w:rPr>
        <w:t>column-wise.</w:t>
      </w:r>
      <w:bookmarkStart w:id="1" w:name="_GoBack"/>
      <w:bookmarkEnd w:id="1"/>
    </w:p>
    <w:p w:rsidR="00975496" w:rsidRPr="006B539D" w:rsidRDefault="00975496" w:rsidP="00975496">
      <w:pPr>
        <w:ind w:left="720"/>
        <w:rPr>
          <w:rFonts w:eastAsia="SimSun"/>
        </w:rPr>
      </w:pPr>
      <w:r>
        <w:rPr>
          <w:rFonts w:eastAsia="SimSun"/>
        </w:rPr>
        <w:t xml:space="preserve">2. </w:t>
      </w:r>
      <w:r w:rsidRPr="006B539D">
        <w:rPr>
          <w:rFonts w:eastAsia="SimSun"/>
        </w:rPr>
        <w:t xml:space="preserve">Pseudo random shifts </w:t>
      </w:r>
      <w:proofErr w:type="gramStart"/>
      <w:r w:rsidRPr="006B539D">
        <w:rPr>
          <w:rFonts w:eastAsia="SimSun"/>
        </w:rPr>
        <w:t>are applied</w:t>
      </w:r>
      <w:proofErr w:type="gramEnd"/>
      <w:r w:rsidRPr="006B539D">
        <w:rPr>
          <w:rFonts w:eastAsia="SimSun"/>
        </w:rPr>
        <w:t xml:space="preserve"> to the columns.</w:t>
      </w:r>
      <w:r>
        <w:rPr>
          <w:rFonts w:eastAsia="SimSun"/>
        </w:rPr>
        <w:t xml:space="preserve"> </w:t>
      </w:r>
      <w:r w:rsidRPr="00B14999">
        <w:rPr>
          <w:rFonts w:eastAsia="SimSun"/>
        </w:rPr>
        <w:t xml:space="preserve">This prevents periodic fades in the frequency domain (e.g., from two strong taps spaced apart in the delay domain) from affecting specific </w:t>
      </w:r>
      <w:proofErr w:type="spellStart"/>
      <w:r w:rsidRPr="00B14999">
        <w:rPr>
          <w:rFonts w:eastAsia="SimSun"/>
        </w:rPr>
        <w:t>codeblocks</w:t>
      </w:r>
      <w:proofErr w:type="spellEnd"/>
      <w:r w:rsidRPr="00B14999">
        <w:rPr>
          <w:rFonts w:eastAsia="SimSun"/>
        </w:rPr>
        <w:t xml:space="preserve"> negatively.</w:t>
      </w:r>
    </w:p>
    <w:p w:rsidR="004B3C92" w:rsidRPr="00975496" w:rsidRDefault="00DC1B58" w:rsidP="00DC1B58">
      <w:pPr>
        <w:ind w:left="720"/>
      </w:pPr>
      <w:r>
        <w:rPr>
          <w:rFonts w:eastAsia="SimSun"/>
        </w:rPr>
        <w:t xml:space="preserve">3. </w:t>
      </w:r>
      <w:r w:rsidRPr="00DC1B58">
        <w:rPr>
          <w:rFonts w:eastAsia="SimSun"/>
        </w:rPr>
        <w:t xml:space="preserve">Data symbols in an OFDM symbol </w:t>
      </w:r>
      <w:proofErr w:type="gramStart"/>
      <w:r w:rsidRPr="00DC1B58">
        <w:rPr>
          <w:rFonts w:eastAsia="SimSun"/>
        </w:rPr>
        <w:t>are read</w:t>
      </w:r>
      <w:proofErr w:type="gramEnd"/>
      <w:r w:rsidRPr="00DC1B58">
        <w:rPr>
          <w:rFonts w:eastAsia="SimSun"/>
        </w:rPr>
        <w:t xml:space="preserve"> row-wise.</w:t>
      </w:r>
    </w:p>
    <w:p w:rsidR="00916091" w:rsidRPr="00916091" w:rsidRDefault="00916091" w:rsidP="00A65273">
      <w:pPr>
        <w:spacing w:after="0"/>
      </w:pPr>
    </w:p>
    <w:p w:rsidR="00916091" w:rsidRDefault="00916091" w:rsidP="00916091">
      <w:pPr>
        <w:pStyle w:val="Titolo3"/>
      </w:pPr>
      <w:r>
        <w:t>3</w:t>
      </w:r>
      <w:r w:rsidRPr="00A079D3">
        <w:tab/>
      </w:r>
      <w:r w:rsidR="004B3C92">
        <w:t>References</w:t>
      </w:r>
    </w:p>
    <w:p w:rsidR="00AA0F82" w:rsidRDefault="007C1560" w:rsidP="00AA0F82">
      <w:pPr>
        <w:rPr>
          <w:lang w:val="en-US"/>
        </w:rPr>
      </w:pPr>
      <w:r>
        <w:t xml:space="preserve"> </w:t>
      </w:r>
      <w:r w:rsidR="00AA0F82">
        <w:t>[1]</w:t>
      </w:r>
      <w:r w:rsidR="00AA0F82">
        <w:rPr>
          <w:lang w:val="en-US"/>
        </w:rPr>
        <w:t xml:space="preserve"> </w:t>
      </w:r>
      <w:hyperlink r:id="rId8" w:history="1">
        <w:r w:rsidR="00AA0F82">
          <w:rPr>
            <w:rStyle w:val="Collegamentoipertestuale"/>
            <w:lang w:val="en-US"/>
          </w:rPr>
          <w:t>RP-250794</w:t>
        </w:r>
      </w:hyperlink>
      <w:r w:rsidR="00AA0F82">
        <w:rPr>
          <w:lang w:val="en-US"/>
        </w:rPr>
        <w:t>, “Revised WID on LTE-based 5G Broadcast Phase 2”, 3GPP TSG RAN Meeting #107, Incheon, Korea, March 2025;</w:t>
      </w:r>
    </w:p>
    <w:p w:rsidR="00F94E43" w:rsidRDefault="00AA0F82" w:rsidP="00F94E43">
      <w:pPr>
        <w:rPr>
          <w:lang w:val="en-US"/>
        </w:rPr>
      </w:pPr>
      <w:r w:rsidRPr="00AA0F82">
        <w:t xml:space="preserve">[2] </w:t>
      </w:r>
      <w:r w:rsidR="007C1560" w:rsidRPr="007C1560">
        <w:t>RP-251975</w:t>
      </w:r>
      <w:r>
        <w:t>, Status Report for “</w:t>
      </w:r>
      <w:r w:rsidRPr="00AA0F82">
        <w:t>New WID on LTE-based 5G Broadcast Phase 2</w:t>
      </w:r>
      <w:r w:rsidR="007C1560">
        <w:t>”</w:t>
      </w:r>
    </w:p>
    <w:p w:rsidR="00AA0F82" w:rsidRDefault="00AA0F82" w:rsidP="00AA0F82"/>
    <w:p w:rsidR="00CB40E6" w:rsidRPr="004345A1" w:rsidRDefault="00CB40E6" w:rsidP="00A65273">
      <w:pPr>
        <w:spacing w:after="0"/>
      </w:pPr>
    </w:p>
    <w:sectPr w:rsidR="00CB40E6" w:rsidRPr="004345A1" w:rsidSect="00F35990">
      <w:footerReference w:type="default" r:id="rId9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B2B" w:rsidRDefault="007E0B2B">
      <w:r>
        <w:separator/>
      </w:r>
    </w:p>
  </w:endnote>
  <w:endnote w:type="continuationSeparator" w:id="0">
    <w:p w:rsidR="007E0B2B" w:rsidRDefault="007E0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D0B" w:rsidRDefault="00CC2D0B">
    <w:pPr>
      <w:pStyle w:val="Pidipagina"/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DC1B58">
      <w:rPr>
        <w:rStyle w:val="Numeropagina"/>
      </w:rPr>
      <w:t>2</w:t>
    </w:r>
    <w:r>
      <w:rPr>
        <w:rStyle w:val="Numeropagina"/>
      </w:rPr>
      <w:fldChar w:fldCharType="end"/>
    </w:r>
    <w:r>
      <w:rPr>
        <w:rStyle w:val="Numeropagina"/>
      </w:rPr>
      <w:t xml:space="preserve"> / </w:t>
    </w:r>
    <w:r>
      <w:rPr>
        <w:rStyle w:val="Numeropagina"/>
      </w:rPr>
      <w:fldChar w:fldCharType="begin"/>
    </w:r>
    <w:r>
      <w:rPr>
        <w:rStyle w:val="Numeropagina"/>
      </w:rPr>
      <w:instrText xml:space="preserve"> NUMPAGES </w:instrText>
    </w:r>
    <w:r>
      <w:rPr>
        <w:rStyle w:val="Numeropagina"/>
      </w:rPr>
      <w:fldChar w:fldCharType="separate"/>
    </w:r>
    <w:r w:rsidR="00DC1B58">
      <w:rPr>
        <w:rStyle w:val="Numeropagina"/>
      </w:rPr>
      <w:t>2</w:t>
    </w:r>
    <w:r>
      <w:rPr>
        <w:rStyle w:val="Numeropa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B2B" w:rsidRDefault="007E0B2B">
      <w:r>
        <w:separator/>
      </w:r>
    </w:p>
  </w:footnote>
  <w:footnote w:type="continuationSeparator" w:id="0">
    <w:p w:rsidR="007E0B2B" w:rsidRDefault="007E0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3"/>
  </w:num>
  <w:num w:numId="4">
    <w:abstractNumId w:val="4"/>
  </w:num>
  <w:num w:numId="5">
    <w:abstractNumId w:val="9"/>
  </w:num>
  <w:num w:numId="6">
    <w:abstractNumId w:val="3"/>
  </w:num>
  <w:num w:numId="7">
    <w:abstractNumId w:val="10"/>
  </w:num>
  <w:num w:numId="8">
    <w:abstractNumId w:val="12"/>
  </w:num>
  <w:num w:numId="9">
    <w:abstractNumId w:val="14"/>
  </w:num>
  <w:num w:numId="10">
    <w:abstractNumId w:val="8"/>
  </w:num>
  <w:num w:numId="11">
    <w:abstractNumId w:val="5"/>
  </w:num>
  <w:num w:numId="12">
    <w:abstractNumId w:val="0"/>
  </w:num>
  <w:num w:numId="13">
    <w:abstractNumId w:val="1"/>
  </w:num>
  <w:num w:numId="14">
    <w:abstractNumId w:val="11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0751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4E0D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2CB4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0EB0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1563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6D15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560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0B2B"/>
    <w:rsid w:val="007E154F"/>
    <w:rsid w:val="007E1708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496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0F82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BD7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2DFF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0654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1ECF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1B58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88B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99A"/>
    <w:rsid w:val="00F90DC5"/>
    <w:rsid w:val="00F91752"/>
    <w:rsid w:val="00F91E39"/>
    <w:rsid w:val="00F92356"/>
    <w:rsid w:val="00F92650"/>
    <w:rsid w:val="00F92E78"/>
    <w:rsid w:val="00F9306D"/>
    <w:rsid w:val="00F94AB8"/>
    <w:rsid w:val="00F94E43"/>
    <w:rsid w:val="00F95C0A"/>
    <w:rsid w:val="00F96623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8A1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A61060"/>
  <w15:chartTrackingRefBased/>
  <w15:docId w15:val="{1F742614-FAD1-448C-9F48-3D6DE8F17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Titolo1">
    <w:name w:val="heading 1"/>
    <w:aliases w:val="NMP Heading 1,H1,h1,h11,h12,h13,h14,h15,h16"/>
    <w:next w:val="Normale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Titolo2">
    <w:name w:val="heading 2"/>
    <w:basedOn w:val="Titolo1"/>
    <w:next w:val="Normale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rsid w:val="004B3C92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rsid w:val="004B3C92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rsid w:val="004B3C92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4B3C92"/>
    <w:pPr>
      <w:outlineLvl w:val="5"/>
    </w:pPr>
  </w:style>
  <w:style w:type="paragraph" w:styleId="Titolo7">
    <w:name w:val="heading 7"/>
    <w:basedOn w:val="H6"/>
    <w:next w:val="Normale"/>
    <w:qFormat/>
    <w:rsid w:val="004B3C92"/>
    <w:pPr>
      <w:outlineLvl w:val="6"/>
    </w:pPr>
  </w:style>
  <w:style w:type="paragraph" w:styleId="Titolo8">
    <w:name w:val="heading 8"/>
    <w:basedOn w:val="Titolo1"/>
    <w:next w:val="Normale"/>
    <w:qFormat/>
    <w:rsid w:val="004B3C92"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rsid w:val="004B3C92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</w:style>
  <w:style w:type="paragraph" w:styleId="Rientrocorpodeltesto">
    <w:name w:val="Body Text Indent"/>
    <w:basedOn w:val="Normale"/>
    <w:pPr>
      <w:ind w:left="720"/>
    </w:pPr>
    <w:rPr>
      <w:b/>
      <w:bCs/>
    </w:rPr>
  </w:style>
  <w:style w:type="paragraph" w:customStyle="1" w:styleId="normalpuce">
    <w:name w:val="normal puce"/>
    <w:basedOn w:val="Normale"/>
    <w:pPr>
      <w:tabs>
        <w:tab w:val="num" w:pos="360"/>
      </w:tabs>
      <w:ind w:left="360" w:hanging="360"/>
    </w:pPr>
  </w:style>
  <w:style w:type="paragraph" w:customStyle="1" w:styleId="B1">
    <w:name w:val="B1"/>
    <w:basedOn w:val="Elenco"/>
    <w:rsid w:val="004B3C92"/>
  </w:style>
  <w:style w:type="paragraph" w:styleId="Elenco">
    <w:name w:val="List"/>
    <w:basedOn w:val="Normale"/>
    <w:rsid w:val="004B3C92"/>
    <w:pPr>
      <w:ind w:left="568" w:hanging="284"/>
    </w:pPr>
  </w:style>
  <w:style w:type="paragraph" w:customStyle="1" w:styleId="TAL">
    <w:name w:val="TAL"/>
    <w:basedOn w:val="Normale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RecCCITT">
    <w:name w:val="Rec_CCITT_#"/>
    <w:basedOn w:val="Normale"/>
    <w:pPr>
      <w:keepNext/>
      <w:keepLines/>
    </w:pPr>
    <w:rPr>
      <w:b/>
      <w:bCs/>
    </w:rPr>
  </w:style>
  <w:style w:type="character" w:styleId="Collegamentoipertestuale">
    <w:name w:val="Hyperlink"/>
    <w:uiPriority w:val="99"/>
    <w:qFormat/>
    <w:rPr>
      <w:color w:val="0000FF"/>
      <w:u w:val="single"/>
    </w:rPr>
  </w:style>
  <w:style w:type="character" w:styleId="Rimandocommento">
    <w:name w:val="annotation reference"/>
    <w:semiHidden/>
    <w:rsid w:val="007E0548"/>
    <w:rPr>
      <w:sz w:val="16"/>
      <w:szCs w:val="16"/>
    </w:rPr>
  </w:style>
  <w:style w:type="paragraph" w:styleId="Testocommento">
    <w:name w:val="annotation text"/>
    <w:basedOn w:val="Normale"/>
    <w:semiHidden/>
    <w:rsid w:val="007E0548"/>
  </w:style>
  <w:style w:type="paragraph" w:styleId="Soggettocommento">
    <w:name w:val="annotation subject"/>
    <w:basedOn w:val="Testocommento"/>
    <w:next w:val="Testocommento"/>
    <w:semiHidden/>
    <w:rsid w:val="007E0548"/>
    <w:rPr>
      <w:b/>
      <w:bCs/>
    </w:rPr>
  </w:style>
  <w:style w:type="paragraph" w:styleId="Testofumetto">
    <w:name w:val="Balloon Text"/>
    <w:basedOn w:val="Normale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nfasicorsivo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nfasigrassetto">
    <w:name w:val="Strong"/>
    <w:qFormat/>
    <w:rsid w:val="00B75F7D"/>
    <w:rPr>
      <w:b/>
      <w:bCs/>
    </w:rPr>
  </w:style>
  <w:style w:type="paragraph" w:styleId="Pidipagina">
    <w:name w:val="footer"/>
    <w:basedOn w:val="Intestazione"/>
    <w:rsid w:val="004B3C92"/>
    <w:pPr>
      <w:jc w:val="center"/>
    </w:pPr>
    <w:rPr>
      <w:i/>
    </w:rPr>
  </w:style>
  <w:style w:type="paragraph" w:styleId="Sommario8">
    <w:name w:val="toc 8"/>
    <w:basedOn w:val="Sommario1"/>
    <w:semiHidden/>
    <w:rsid w:val="004B3C92"/>
    <w:pPr>
      <w:spacing w:before="180"/>
      <w:ind w:left="2693" w:hanging="2693"/>
    </w:pPr>
    <w:rPr>
      <w:b/>
    </w:rPr>
  </w:style>
  <w:style w:type="paragraph" w:styleId="Sommario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Sommario5">
    <w:name w:val="toc 5"/>
    <w:basedOn w:val="Sommario4"/>
    <w:semiHidden/>
    <w:rsid w:val="004B3C92"/>
    <w:pPr>
      <w:ind w:left="1701" w:hanging="1701"/>
    </w:pPr>
  </w:style>
  <w:style w:type="paragraph" w:styleId="Sommario4">
    <w:name w:val="toc 4"/>
    <w:basedOn w:val="Sommario3"/>
    <w:semiHidden/>
    <w:rsid w:val="004B3C92"/>
    <w:pPr>
      <w:ind w:left="1418" w:hanging="1418"/>
    </w:pPr>
  </w:style>
  <w:style w:type="paragraph" w:styleId="Sommario3">
    <w:name w:val="toc 3"/>
    <w:basedOn w:val="Sommario2"/>
    <w:semiHidden/>
    <w:rsid w:val="004B3C92"/>
    <w:pPr>
      <w:ind w:left="1134" w:hanging="1134"/>
    </w:pPr>
  </w:style>
  <w:style w:type="paragraph" w:styleId="Sommario2">
    <w:name w:val="toc 2"/>
    <w:basedOn w:val="Sommario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rsid w:val="004B3C92"/>
    <w:pPr>
      <w:ind w:left="284"/>
    </w:pPr>
  </w:style>
  <w:style w:type="paragraph" w:styleId="Indice1">
    <w:name w:val="index 1"/>
    <w:basedOn w:val="Normale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Titolo1"/>
    <w:next w:val="Normale"/>
    <w:rsid w:val="004B3C92"/>
    <w:pPr>
      <w:outlineLvl w:val="9"/>
    </w:pPr>
  </w:style>
  <w:style w:type="paragraph" w:styleId="Numeroelenco2">
    <w:name w:val="List Number 2"/>
    <w:basedOn w:val="Numeroelenco"/>
    <w:rsid w:val="004B3C92"/>
    <w:pPr>
      <w:ind w:left="851"/>
    </w:pPr>
  </w:style>
  <w:style w:type="character" w:styleId="Rimandonotaapidipagina">
    <w:name w:val="footnote reference"/>
    <w:semiHidden/>
    <w:rsid w:val="004B3C92"/>
    <w:rPr>
      <w:b/>
      <w:position w:val="6"/>
      <w:sz w:val="16"/>
    </w:rPr>
  </w:style>
  <w:style w:type="paragraph" w:styleId="Testonotaapidipagina">
    <w:name w:val="footnote text"/>
    <w:basedOn w:val="Normale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e"/>
    <w:rsid w:val="004B3C92"/>
    <w:pPr>
      <w:keepLines/>
      <w:ind w:left="1135" w:hanging="851"/>
    </w:pPr>
  </w:style>
  <w:style w:type="paragraph" w:styleId="Sommario9">
    <w:name w:val="toc 9"/>
    <w:basedOn w:val="Sommario8"/>
    <w:semiHidden/>
    <w:rsid w:val="004B3C92"/>
    <w:pPr>
      <w:ind w:left="1418" w:hanging="1418"/>
    </w:pPr>
  </w:style>
  <w:style w:type="paragraph" w:customStyle="1" w:styleId="EX">
    <w:name w:val="EX"/>
    <w:basedOn w:val="Normale"/>
    <w:rsid w:val="004B3C92"/>
    <w:pPr>
      <w:keepLines/>
      <w:ind w:left="1702" w:hanging="1418"/>
    </w:pPr>
  </w:style>
  <w:style w:type="paragraph" w:customStyle="1" w:styleId="FP">
    <w:name w:val="FP"/>
    <w:basedOn w:val="Normale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Sommario6">
    <w:name w:val="toc 6"/>
    <w:basedOn w:val="Sommario5"/>
    <w:next w:val="Normale"/>
    <w:semiHidden/>
    <w:rsid w:val="004B3C92"/>
    <w:pPr>
      <w:ind w:left="1985" w:hanging="1985"/>
    </w:pPr>
  </w:style>
  <w:style w:type="paragraph" w:styleId="Sommario7">
    <w:name w:val="toc 7"/>
    <w:basedOn w:val="Sommario6"/>
    <w:next w:val="Normale"/>
    <w:semiHidden/>
    <w:rsid w:val="004B3C92"/>
    <w:pPr>
      <w:ind w:left="2268" w:hanging="2268"/>
    </w:pPr>
  </w:style>
  <w:style w:type="paragraph" w:styleId="Puntoelenco2">
    <w:name w:val="List Bullet 2"/>
    <w:basedOn w:val="Puntoelenco"/>
    <w:rsid w:val="004B3C92"/>
    <w:pPr>
      <w:ind w:left="851"/>
    </w:pPr>
  </w:style>
  <w:style w:type="paragraph" w:styleId="Puntoelenco3">
    <w:name w:val="List Bullet 3"/>
    <w:basedOn w:val="Puntoelenco2"/>
    <w:rsid w:val="004B3C92"/>
    <w:pPr>
      <w:ind w:left="1135"/>
    </w:pPr>
  </w:style>
  <w:style w:type="paragraph" w:styleId="Numeroelenco">
    <w:name w:val="List Number"/>
    <w:basedOn w:val="Elenco"/>
    <w:rsid w:val="004B3C92"/>
  </w:style>
  <w:style w:type="paragraph" w:customStyle="1" w:styleId="EQ">
    <w:name w:val="EQ"/>
    <w:basedOn w:val="Normale"/>
    <w:next w:val="Normale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e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Titolo5"/>
    <w:next w:val="Normale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Elenco2">
    <w:name w:val="List 2"/>
    <w:basedOn w:val="Elenco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Elenco3">
    <w:name w:val="List 3"/>
    <w:basedOn w:val="Elenco2"/>
    <w:rsid w:val="004B3C92"/>
    <w:pPr>
      <w:ind w:left="1135"/>
    </w:pPr>
  </w:style>
  <w:style w:type="paragraph" w:styleId="Elenco4">
    <w:name w:val="List 4"/>
    <w:basedOn w:val="Elenco3"/>
    <w:rsid w:val="004B3C92"/>
    <w:pPr>
      <w:ind w:left="1418"/>
    </w:pPr>
  </w:style>
  <w:style w:type="paragraph" w:styleId="Elenco5">
    <w:name w:val="List 5"/>
    <w:basedOn w:val="Elenco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Puntoelenco">
    <w:name w:val="List Bullet"/>
    <w:basedOn w:val="Elenco"/>
    <w:rsid w:val="004B3C92"/>
  </w:style>
  <w:style w:type="paragraph" w:styleId="Puntoelenco4">
    <w:name w:val="List Bullet 4"/>
    <w:basedOn w:val="Puntoelenco3"/>
    <w:rsid w:val="004B3C92"/>
    <w:pPr>
      <w:ind w:left="1418"/>
    </w:pPr>
  </w:style>
  <w:style w:type="paragraph" w:styleId="Puntoelenco5">
    <w:name w:val="List Bullet 5"/>
    <w:basedOn w:val="Puntoelenco4"/>
    <w:rsid w:val="004B3C92"/>
    <w:pPr>
      <w:ind w:left="1702"/>
    </w:pPr>
  </w:style>
  <w:style w:type="paragraph" w:customStyle="1" w:styleId="B2">
    <w:name w:val="B2"/>
    <w:basedOn w:val="Elenco2"/>
    <w:rsid w:val="004B3C92"/>
  </w:style>
  <w:style w:type="paragraph" w:customStyle="1" w:styleId="B3">
    <w:name w:val="B3"/>
    <w:basedOn w:val="Elenco3"/>
    <w:rsid w:val="004B3C92"/>
  </w:style>
  <w:style w:type="paragraph" w:customStyle="1" w:styleId="B4">
    <w:name w:val="B4"/>
    <w:basedOn w:val="Elenco4"/>
    <w:rsid w:val="004B3C92"/>
  </w:style>
  <w:style w:type="paragraph" w:customStyle="1" w:styleId="B5">
    <w:name w:val="B5"/>
    <w:basedOn w:val="Elenco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Numeropagina">
    <w:name w:val="page number"/>
    <w:basedOn w:val="Carpredefinitoparagrafo"/>
    <w:rsid w:val="003438F1"/>
  </w:style>
  <w:style w:type="paragraph" w:styleId="Mappadocumento">
    <w:name w:val="Document Map"/>
    <w:basedOn w:val="Normale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a">
    <w:name w:val="Date"/>
    <w:basedOn w:val="Normale"/>
    <w:next w:val="Normale"/>
    <w:rsid w:val="00CD0979"/>
  </w:style>
  <w:style w:type="character" w:customStyle="1" w:styleId="apple-style-span">
    <w:name w:val="apple-style-span"/>
    <w:basedOn w:val="Carpredefinitoparagrafo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idascalia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e"/>
    <w:next w:val="Normale"/>
    <w:link w:val="DidascaliaCarattere"/>
    <w:uiPriority w:val="35"/>
    <w:qFormat/>
    <w:rsid w:val="00CE2DFF"/>
    <w:pPr>
      <w:spacing w:before="120" w:after="120"/>
    </w:pPr>
    <w:rPr>
      <w:rFonts w:eastAsia="SimSun"/>
      <w:b/>
      <w:bCs/>
      <w:lang w:val="en-US"/>
    </w:rPr>
  </w:style>
  <w:style w:type="character" w:customStyle="1" w:styleId="DidascaliaCarattere">
    <w:name w:val="Didascalia Carattere"/>
    <w:aliases w:val="cap Carattere,cap Char Carattere,cap1 Carattere,cap2 Carattere,cap3 Carattere,cap4 Carattere,cap5 Carattere,cap6 Carattere,cap7 Carattere,cap8 Carattere,cap9 Carattere,cap10 Carattere,cap11 Carattere,cap21 Carattere,cap31 Carattere"/>
    <w:link w:val="Didascalia"/>
    <w:uiPriority w:val="35"/>
    <w:rsid w:val="00CE2DFF"/>
    <w:rPr>
      <w:rFonts w:eastAsia="SimSu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4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 summary template</vt:lpstr>
      <vt:lpstr>Agenda for 3GPP TSG RAN meeting</vt:lpstr>
    </vt:vector>
  </TitlesOfParts>
  <Company/>
  <LinksUpToDate>false</LinksUpToDate>
  <CharactersWithSpaces>2882</CharactersWithSpaces>
  <SharedDoc>false</SharedDoc>
  <HLinks>
    <vt:vector size="6" baseType="variant">
      <vt:variant>
        <vt:i4>7143432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https://www.3gpp.org/ftp/tsg_ran/TSG_RAN/TSGR_107/Docs/RP-250794.zip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Assunta De Vita</cp:lastModifiedBy>
  <cp:revision>4</cp:revision>
  <cp:lastPrinted>2014-08-13T15:20:00Z</cp:lastPrinted>
  <dcterms:created xsi:type="dcterms:W3CDTF">2025-09-08T15:01:00Z</dcterms:created>
  <dcterms:modified xsi:type="dcterms:W3CDTF">2025-09-12T14:24:00Z</dcterms:modified>
</cp:coreProperties>
</file>